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9CC41" w14:textId="039DE4FF" w:rsidR="00597CF3" w:rsidRDefault="00BC2562" w:rsidP="00597CF3">
      <w:pPr>
        <w:pStyle w:val="Overskrift1"/>
        <w:spacing w:line="276" w:lineRule="auto"/>
      </w:pPr>
      <w:r>
        <w:t>Sail</w:t>
      </w:r>
      <w:r w:rsidR="00796F32">
        <w:t>’</w:t>
      </w:r>
      <w:r>
        <w:t xml:space="preserve">22 </w:t>
      </w:r>
      <w:r w:rsidR="004D65D6">
        <w:t xml:space="preserve">– intern kommunikation og strategi </w:t>
      </w:r>
    </w:p>
    <w:p w14:paraId="19464198" w14:textId="7274C081" w:rsidR="00670119" w:rsidRPr="00670119" w:rsidRDefault="00670119" w:rsidP="00670119">
      <w:pPr>
        <w:rPr>
          <w:sz w:val="20"/>
          <w:szCs w:val="20"/>
        </w:rPr>
      </w:pPr>
      <w:r w:rsidRPr="00670119">
        <w:rPr>
          <w:sz w:val="20"/>
          <w:szCs w:val="20"/>
        </w:rPr>
        <w:t xml:space="preserve">Af Sarah Ørsted </w:t>
      </w:r>
    </w:p>
    <w:p w14:paraId="224404C4" w14:textId="77777777" w:rsidR="00F35C7C" w:rsidRDefault="00F35C7C" w:rsidP="007162E6">
      <w:pPr>
        <w:spacing w:line="276" w:lineRule="auto"/>
        <w:jc w:val="both"/>
      </w:pPr>
    </w:p>
    <w:p w14:paraId="277000A1" w14:textId="4FB6A0DF" w:rsidR="003D4C69" w:rsidRDefault="005B015E" w:rsidP="00AD159B">
      <w:pPr>
        <w:spacing w:line="276" w:lineRule="auto"/>
        <w:jc w:val="both"/>
      </w:pPr>
      <w:r>
        <w:t>Carlsberg Group</w:t>
      </w:r>
      <w:r w:rsidR="003D4C69">
        <w:t>,</w:t>
      </w:r>
      <w:r>
        <w:t xml:space="preserve"> </w:t>
      </w:r>
      <w:r w:rsidR="00235720">
        <w:t>med Cees ’</w:t>
      </w:r>
      <w:r w:rsidR="00B029BD">
        <w:t>t Hart i front</w:t>
      </w:r>
      <w:r w:rsidR="003D4C69">
        <w:t>,</w:t>
      </w:r>
      <w:r w:rsidR="002A3137">
        <w:t xml:space="preserve"> fremlagde den</w:t>
      </w:r>
      <w:r w:rsidR="00B029BD">
        <w:t xml:space="preserve"> 16. marts </w:t>
      </w:r>
      <w:r w:rsidR="002A3137">
        <w:t xml:space="preserve">deres nye strategiplan, </w:t>
      </w:r>
      <w:r w:rsidR="00B029BD">
        <w:t>Sail’22</w:t>
      </w:r>
      <w:r w:rsidR="00117439">
        <w:rPr>
          <w:rStyle w:val="Fodnotehenvisning"/>
        </w:rPr>
        <w:footnoteReference w:id="1"/>
      </w:r>
      <w:r w:rsidR="00B029BD">
        <w:t xml:space="preserve">. </w:t>
      </w:r>
    </w:p>
    <w:p w14:paraId="0BCFC3B8" w14:textId="770F561A" w:rsidR="005B015E" w:rsidRPr="005B015E" w:rsidRDefault="003D4C69" w:rsidP="00AD159B">
      <w:pPr>
        <w:spacing w:line="276" w:lineRule="auto"/>
        <w:jc w:val="both"/>
      </w:pPr>
      <w:r>
        <w:t xml:space="preserve">Budskabet i oplægget bygger på at skabe </w:t>
      </w:r>
      <w:r w:rsidR="002A3137">
        <w:t>et stærkt,</w:t>
      </w:r>
      <w:r w:rsidR="00235720">
        <w:t xml:space="preserve"> frem for</w:t>
      </w:r>
      <w:r>
        <w:t xml:space="preserve"> et stort</w:t>
      </w:r>
      <w:r w:rsidR="002A3137">
        <w:t xml:space="preserve"> Carlsberg</w:t>
      </w:r>
      <w:r>
        <w:t xml:space="preserve">. Derudover meddeles det, at der skal </w:t>
      </w:r>
      <w:r w:rsidR="002A3137">
        <w:t>fokus på</w:t>
      </w:r>
      <w:r w:rsidR="00235720">
        <w:t xml:space="preserve"> storbyerne</w:t>
      </w:r>
      <w:r w:rsidR="000D5B86">
        <w:t xml:space="preserve"> (især i Asien)</w:t>
      </w:r>
      <w:r w:rsidR="002A3137">
        <w:t>,</w:t>
      </w:r>
      <w:r w:rsidR="00235720">
        <w:t xml:space="preserve"> hvor de købestærke</w:t>
      </w:r>
      <w:r w:rsidR="000D5B86">
        <w:t xml:space="preserve"> og mange</w:t>
      </w:r>
      <w:r w:rsidR="00235720">
        <w:t xml:space="preserve"> </w:t>
      </w:r>
      <w:r w:rsidR="000D5B86">
        <w:t>forbrugere befinder sig.</w:t>
      </w:r>
    </w:p>
    <w:p w14:paraId="5D7F1FD7" w14:textId="1633A6FD" w:rsidR="005B015E" w:rsidRPr="00235720" w:rsidRDefault="003D4C69" w:rsidP="00AD159B">
      <w:pPr>
        <w:spacing w:line="276" w:lineRule="auto"/>
        <w:jc w:val="both"/>
      </w:pPr>
      <w:r>
        <w:t xml:space="preserve">Sail’22 blev </w:t>
      </w:r>
      <w:r w:rsidR="00B029BD">
        <w:t>præs</w:t>
      </w:r>
      <w:r w:rsidR="00AA3452">
        <w:t xml:space="preserve">enteret på et </w:t>
      </w:r>
      <w:r w:rsidR="00F7314D">
        <w:t>presse</w:t>
      </w:r>
      <w:r w:rsidR="00AA3452">
        <w:t>møde.</w:t>
      </w:r>
      <w:r w:rsidR="00B029BD">
        <w:t xml:space="preserve"> </w:t>
      </w:r>
      <w:r w:rsidR="007C06E4">
        <w:t>Sail’22</w:t>
      </w:r>
      <w:r>
        <w:t xml:space="preserve"> kan derudover </w:t>
      </w:r>
      <w:r>
        <w:t xml:space="preserve">findes på Carlsbergs hjemmeside, hvilket gør </w:t>
      </w:r>
      <w:r w:rsidR="002A3137">
        <w:t>Carlsberg</w:t>
      </w:r>
      <w:r>
        <w:t xml:space="preserve"> til eneafsender af budskabet. </w:t>
      </w:r>
      <w:r w:rsidR="00C90BDF">
        <w:t>Den primær</w:t>
      </w:r>
      <w:r w:rsidR="00235720">
        <w:t xml:space="preserve">modtager </w:t>
      </w:r>
      <w:r w:rsidR="00B029BD">
        <w:t xml:space="preserve">under det fysiske oplæg </w:t>
      </w:r>
      <w:r>
        <w:t>var</w:t>
      </w:r>
      <w:r w:rsidR="00235720">
        <w:t xml:space="preserve"> Carlsbergs medarbejdere samt </w:t>
      </w:r>
      <w:r w:rsidR="00AA3452">
        <w:t>aktionærer</w:t>
      </w:r>
      <w:r w:rsidR="002A3137">
        <w:t>ne</w:t>
      </w:r>
      <w:r w:rsidR="00F00452">
        <w:t>.</w:t>
      </w:r>
      <w:r>
        <w:t xml:space="preserve"> På hjemmesiden kan interessenter</w:t>
      </w:r>
      <w:r w:rsidR="00F7314D">
        <w:t xml:space="preserve"> frit gå ind og</w:t>
      </w:r>
      <w:r>
        <w:t xml:space="preserve"> se oplægget.</w:t>
      </w:r>
      <w:r w:rsidR="00235720">
        <w:t xml:space="preserve"> </w:t>
      </w:r>
    </w:p>
    <w:p w14:paraId="12800EC8" w14:textId="3F2A8447" w:rsidR="005B015E" w:rsidRPr="00235720" w:rsidRDefault="003D4C69" w:rsidP="00AD159B">
      <w:pPr>
        <w:spacing w:line="276" w:lineRule="auto"/>
        <w:jc w:val="both"/>
      </w:pPr>
      <w:r>
        <w:t>Hvis vi taler om e</w:t>
      </w:r>
      <w:r w:rsidR="00235720">
        <w:t xml:space="preserve">ffekten </w:t>
      </w:r>
      <w:r w:rsidR="00B029BD">
        <w:t>af ændringerne</w:t>
      </w:r>
      <w:r>
        <w:t>, så</w:t>
      </w:r>
      <w:r w:rsidR="00B029BD">
        <w:t xml:space="preserve"> </w:t>
      </w:r>
      <w:r>
        <w:t xml:space="preserve">er </w:t>
      </w:r>
      <w:r w:rsidR="00F7314D">
        <w:t xml:space="preserve">de </w:t>
      </w:r>
      <w:r>
        <w:t>ikke målbar endnu.</w:t>
      </w:r>
      <w:r w:rsidR="00235720">
        <w:t xml:space="preserve"> </w:t>
      </w:r>
      <w:r w:rsidR="007C06E4">
        <w:t xml:space="preserve">Det er dog klart, at </w:t>
      </w:r>
      <w:r w:rsidR="00235720">
        <w:t xml:space="preserve">Carlsberg Group ønsker at skabe en stærkere virksomhed, hvor aktionærerne vil </w:t>
      </w:r>
      <w:r w:rsidR="00235720">
        <w:t xml:space="preserve">kunne </w:t>
      </w:r>
      <w:r w:rsidR="00235720">
        <w:t xml:space="preserve">se resultater og derved øge deres </w:t>
      </w:r>
      <w:r w:rsidR="00235720">
        <w:t>lyst til at investere</w:t>
      </w:r>
      <w:r w:rsidR="00235720">
        <w:t xml:space="preserve">. Det bliver nævnt i oplægget, at de </w:t>
      </w:r>
      <w:r w:rsidR="000C4E3A">
        <w:t xml:space="preserve">vil </w:t>
      </w:r>
      <w:r w:rsidR="000C4E3A" w:rsidRPr="000C4E3A">
        <w:rPr>
          <w:i/>
          <w:lang w:val="en-US"/>
        </w:rPr>
        <w:t>”…</w:t>
      </w:r>
      <w:r w:rsidR="000C4E3A">
        <w:rPr>
          <w:i/>
          <w:lang w:val="en-US"/>
        </w:rPr>
        <w:t xml:space="preserve"> </w:t>
      </w:r>
      <w:r w:rsidR="000C4E3A" w:rsidRPr="000C4E3A">
        <w:rPr>
          <w:i/>
          <w:lang w:val="en-US"/>
        </w:rPr>
        <w:t>Invest in profitable growth, and then reduce leverage and return more cash to shareholders”</w:t>
      </w:r>
      <w:r w:rsidR="00835C89">
        <w:rPr>
          <w:i/>
          <w:lang w:val="en-US"/>
        </w:rPr>
        <w:t>.</w:t>
      </w:r>
      <w:r w:rsidR="000C4E3A">
        <w:rPr>
          <w:rStyle w:val="Fodnotehenvisning"/>
          <w:i/>
          <w:lang w:val="en-US"/>
        </w:rPr>
        <w:footnoteReference w:id="2"/>
      </w:r>
    </w:p>
    <w:p w14:paraId="54798750" w14:textId="77777777" w:rsidR="005B015E" w:rsidRDefault="005B015E" w:rsidP="00AD159B">
      <w:pPr>
        <w:spacing w:line="276" w:lineRule="auto"/>
        <w:jc w:val="both"/>
      </w:pPr>
    </w:p>
    <w:p w14:paraId="2D8EDE4A" w14:textId="67723E89" w:rsidR="008F3F94" w:rsidRDefault="008643EE" w:rsidP="00AD159B">
      <w:pPr>
        <w:spacing w:line="276" w:lineRule="auto"/>
        <w:jc w:val="both"/>
      </w:pPr>
      <w:r>
        <w:t xml:space="preserve">På forsiden af </w:t>
      </w:r>
      <w:r w:rsidR="008F3F94">
        <w:t>præsentationen</w:t>
      </w:r>
      <w:r>
        <w:t xml:space="preserve"> ses en konkurrencebåd</w:t>
      </w:r>
      <w:r w:rsidR="000C4E3A">
        <w:t xml:space="preserve"> med teksten </w:t>
      </w:r>
      <w:r w:rsidR="000C4E3A" w:rsidRPr="000C4E3A">
        <w:rPr>
          <w:i/>
        </w:rPr>
        <w:t>”Sail</w:t>
      </w:r>
      <w:r w:rsidR="00796F32">
        <w:rPr>
          <w:i/>
        </w:rPr>
        <w:t>’</w:t>
      </w:r>
      <w:r w:rsidR="000C4E3A" w:rsidRPr="000C4E3A">
        <w:rPr>
          <w:i/>
        </w:rPr>
        <w:t>22”</w:t>
      </w:r>
      <w:r w:rsidR="000C4E3A">
        <w:t xml:space="preserve"> samt teksten </w:t>
      </w:r>
      <w:r w:rsidR="000C4E3A" w:rsidRPr="000C4E3A">
        <w:rPr>
          <w:i/>
        </w:rPr>
        <w:t xml:space="preserve">”The </w:t>
      </w:r>
      <w:r w:rsidR="000C4E3A" w:rsidRPr="008F3F94">
        <w:rPr>
          <w:i/>
          <w:lang w:val="en-US"/>
        </w:rPr>
        <w:t>Journey</w:t>
      </w:r>
      <w:r w:rsidR="008F3F94">
        <w:rPr>
          <w:i/>
          <w:lang w:val="en-US"/>
        </w:rPr>
        <w:t xml:space="preserve"> B</w:t>
      </w:r>
      <w:r w:rsidR="000C4E3A" w:rsidRPr="008F3F94">
        <w:rPr>
          <w:i/>
          <w:lang w:val="en-US"/>
        </w:rPr>
        <w:t>egins”</w:t>
      </w:r>
      <w:r w:rsidR="00835C89" w:rsidRPr="008F3F94">
        <w:rPr>
          <w:i/>
          <w:lang w:val="en-US"/>
        </w:rPr>
        <w:t>.</w:t>
      </w:r>
      <w:r w:rsidR="00796F32">
        <w:rPr>
          <w:i/>
        </w:rPr>
        <w:t xml:space="preserve"> </w:t>
      </w:r>
      <w:r w:rsidR="00835C89">
        <w:t>Dette</w:t>
      </w:r>
      <w:r w:rsidR="000C4E3A">
        <w:t xml:space="preserve"> </w:t>
      </w:r>
      <w:r w:rsidR="008F3F94">
        <w:t>er en indikator på</w:t>
      </w:r>
      <w:r w:rsidR="00796F32">
        <w:t>,</w:t>
      </w:r>
      <w:r w:rsidR="000C4E3A">
        <w:t xml:space="preserve"> at Carlsberg er kla</w:t>
      </w:r>
      <w:r>
        <w:t>r til fremgang. Konkurrencebåden har en signalværdig i form af, at tingene skal gå hurtig</w:t>
      </w:r>
      <w:r w:rsidR="00F7314D">
        <w:t>t</w:t>
      </w:r>
      <w:r w:rsidR="006A2CAB">
        <w:t xml:space="preserve"> (2022)</w:t>
      </w:r>
      <w:r>
        <w:t xml:space="preserve">, og at Carlsberg skal ud og konkurrere </w:t>
      </w:r>
      <w:r w:rsidR="008F3F94">
        <w:t xml:space="preserve">blandt andet </w:t>
      </w:r>
      <w:r>
        <w:t xml:space="preserve">med det øvrige marked igen. </w:t>
      </w:r>
    </w:p>
    <w:p w14:paraId="0179863B" w14:textId="4DD63A9D" w:rsidR="00C90BDF" w:rsidRDefault="00777FF8" w:rsidP="00AD159B">
      <w:pPr>
        <w:spacing w:line="276" w:lineRule="auto"/>
        <w:jc w:val="both"/>
      </w:pPr>
      <w:r>
        <w:t xml:space="preserve">I artiklen </w:t>
      </w:r>
      <w:r w:rsidRPr="00144BE6">
        <w:rPr>
          <w:i/>
        </w:rPr>
        <w:t>”Ny Carlsberg-boss renser ud inden strategiskifte”</w:t>
      </w:r>
      <w:r>
        <w:t xml:space="preserve"> bliver det nævnt, at Carlsberg skal lære at spille som et hold på samme bane</w:t>
      </w:r>
      <w:r w:rsidR="009A3E70">
        <w:t xml:space="preserve">. I oplægget understreges dette igen </w:t>
      </w:r>
      <w:r>
        <w:t>med en tegning</w:t>
      </w:r>
      <w:r w:rsidR="009A3E70">
        <w:t xml:space="preserve"> af den samme konkurrencebåd</w:t>
      </w:r>
      <w:r>
        <w:t xml:space="preserve">, hvor mændene på båden samarbejder, med teksten </w:t>
      </w:r>
      <w:r w:rsidRPr="00B029BD">
        <w:rPr>
          <w:i/>
          <w:lang w:val="en-GB"/>
        </w:rPr>
        <w:t>”Strengthen core”, ”Position for growth”.</w:t>
      </w:r>
      <w:r>
        <w:t xml:space="preserve"> Disse sætninger kan overføres både til organisationskulturen vedrørende medarbejderne</w:t>
      </w:r>
      <w:r w:rsidR="002A3137">
        <w:t>,</w:t>
      </w:r>
      <w:r>
        <w:t xml:space="preserve"> men også i forhold til virksomhedens vækst</w:t>
      </w:r>
      <w:r w:rsidR="009A3E70">
        <w:t xml:space="preserve">. </w:t>
      </w:r>
    </w:p>
    <w:p w14:paraId="4F79C513" w14:textId="7901C1E3" w:rsidR="008643EE" w:rsidRDefault="009A3E70" w:rsidP="00AD159B">
      <w:pPr>
        <w:spacing w:line="276" w:lineRule="auto"/>
        <w:jc w:val="both"/>
      </w:pPr>
      <w:r>
        <w:t xml:space="preserve">Ordet samarbejde </w:t>
      </w:r>
      <w:r w:rsidR="008F3F94">
        <w:t xml:space="preserve">er </w:t>
      </w:r>
      <w:r>
        <w:t xml:space="preserve">et </w:t>
      </w:r>
      <w:r w:rsidR="00C90BDF">
        <w:t xml:space="preserve">positivt </w:t>
      </w:r>
      <w:r w:rsidR="0032467A">
        <w:t>ladet udtryk. P</w:t>
      </w:r>
      <w:r w:rsidR="008F3F94">
        <w:t>ræsentationen</w:t>
      </w:r>
      <w:r>
        <w:t xml:space="preserve"> </w:t>
      </w:r>
      <w:r w:rsidR="0032467A">
        <w:t xml:space="preserve">vil give </w:t>
      </w:r>
      <w:r>
        <w:t>medarbejderne et indtryk af, at de nu skal være med til at styrke virksomheden. Det er langt fra sikkert</w:t>
      </w:r>
      <w:r w:rsidR="002A3137">
        <w:t>,</w:t>
      </w:r>
      <w:r>
        <w:t xml:space="preserve"> at medarbejderne kommer til at føle nogen form for ændring i deres </w:t>
      </w:r>
      <w:r w:rsidR="002A3137">
        <w:t>standardiserede</w:t>
      </w:r>
      <w:r>
        <w:t xml:space="preserve"> arbejde. </w:t>
      </w:r>
    </w:p>
    <w:p w14:paraId="2FBC9BC9" w14:textId="77777777" w:rsidR="00FC5D13" w:rsidRDefault="00FC5D13" w:rsidP="00DF5C3B">
      <w:pPr>
        <w:spacing w:line="276" w:lineRule="auto"/>
        <w:jc w:val="both"/>
      </w:pPr>
    </w:p>
    <w:p w14:paraId="0B55CD35" w14:textId="5ED9484B" w:rsidR="008643EE" w:rsidRDefault="00DF5C3B" w:rsidP="00AD159B">
      <w:pPr>
        <w:spacing w:line="276" w:lineRule="auto"/>
        <w:jc w:val="both"/>
      </w:pPr>
      <w:r>
        <w:t>Sail’22 er flot præcenteret med overskuelig</w:t>
      </w:r>
      <w:r w:rsidR="002A3137">
        <w:t>t</w:t>
      </w:r>
      <w:r>
        <w:t xml:space="preserve"> layout, men med mange svære ord og forkortelser, som den almindelig</w:t>
      </w:r>
      <w:r w:rsidR="0098258A">
        <w:t>e</w:t>
      </w:r>
      <w:r>
        <w:t xml:space="preserve"> medarbej</w:t>
      </w:r>
      <w:r w:rsidR="002A3137">
        <w:t>der højst sandsynligt ikke vil</w:t>
      </w:r>
      <w:r>
        <w:t xml:space="preserve"> kunne forstå.</w:t>
      </w:r>
      <w:r w:rsidR="00F74D7B">
        <w:t xml:space="preserve"> Dette laver en skævkommunikationen i forhold vidensniveauet i virksomheden.</w:t>
      </w:r>
      <w:r>
        <w:t xml:space="preserve"> Medarbejderne vil fan</w:t>
      </w:r>
      <w:r w:rsidR="002A3137">
        <w:t>ge positivt ladede</w:t>
      </w:r>
      <w:r>
        <w:t xml:space="preserve"> ord som samarbejde, teamwork, styrke, vækst. Dette vil give en følelse af, at nye tiltag er på vej</w:t>
      </w:r>
      <w:r w:rsidR="002A3137">
        <w:t>,</w:t>
      </w:r>
      <w:r>
        <w:t xml:space="preserve"> på trods af at forholdene for medarbejder</w:t>
      </w:r>
      <w:r w:rsidR="002A3137">
        <w:t>en</w:t>
      </w:r>
      <w:r>
        <w:t xml:space="preserve"> højst sandsynligt ikke vil ændre sig. Man</w:t>
      </w:r>
      <w:r w:rsidR="002A3137">
        <w:t xml:space="preserve"> ønsker at formalisere</w:t>
      </w:r>
      <w:r>
        <w:t xml:space="preserve"> standardiseringen</w:t>
      </w:r>
      <w:r w:rsidR="0032467A">
        <w:t>.</w:t>
      </w:r>
    </w:p>
    <w:p w14:paraId="6B0668C8" w14:textId="254EC781" w:rsidR="00FC1955" w:rsidRDefault="00FC1955" w:rsidP="00FC1955">
      <w:pPr>
        <w:spacing w:line="276" w:lineRule="auto"/>
        <w:jc w:val="both"/>
      </w:pPr>
      <w:r>
        <w:lastRenderedPageBreak/>
        <w:t>Det bliver nævnt i oplægget, at der skal ske en fundamental ændring i, hvordan Carlsberg prioriterer samt operer</w:t>
      </w:r>
      <w:r w:rsidR="00B94570">
        <w:t>er</w:t>
      </w:r>
      <w:r>
        <w:rPr>
          <w:rStyle w:val="Fodnotehenvisning"/>
        </w:rPr>
        <w:footnoteReference w:id="3"/>
      </w:r>
      <w:r>
        <w:t>. Dette er blandt andet eksemplificeret ved</w:t>
      </w:r>
      <w:r w:rsidR="002A3137">
        <w:t>,</w:t>
      </w:r>
      <w:r>
        <w:t xml:space="preserve"> at en af kulturbærerne i virksomheden, den tidligere chef for det vesteuropæiske marked</w:t>
      </w:r>
      <w:r w:rsidR="002A3137">
        <w:t>,</w:t>
      </w:r>
      <w:r>
        <w:t xml:space="preserve"> Jørn Tolstrup Rohde, er blevet afskediget.</w:t>
      </w:r>
      <w:r w:rsidR="002A3137">
        <w:t xml:space="preserve"> Dette har tilmed signalværdig</w:t>
      </w:r>
      <w:r>
        <w:t xml:space="preserve"> i form af rituelle ofringer. </w:t>
      </w:r>
    </w:p>
    <w:p w14:paraId="1918941B" w14:textId="77777777" w:rsidR="00C40856" w:rsidRDefault="00C40856" w:rsidP="00C40856">
      <w:pPr>
        <w:spacing w:line="276" w:lineRule="auto"/>
        <w:jc w:val="both"/>
      </w:pPr>
    </w:p>
    <w:p w14:paraId="7668447E" w14:textId="5A4877D4" w:rsidR="00C40856" w:rsidRPr="00C40856" w:rsidRDefault="00C40856" w:rsidP="00C40856">
      <w:pPr>
        <w:spacing w:line="276" w:lineRule="auto"/>
        <w:jc w:val="both"/>
      </w:pPr>
      <w:r>
        <w:t>Når man vælger at reducere en organisation og kigge indad, må det naturligvis s</w:t>
      </w:r>
      <w:r>
        <w:t>kærpe den interne kommunikation. Carlsberg</w:t>
      </w:r>
      <w:r>
        <w:t xml:space="preserve"> vil</w:t>
      </w:r>
      <w:r>
        <w:t xml:space="preserve"> som følge ikke</w:t>
      </w:r>
      <w:r>
        <w:t xml:space="preserve"> have så mange områder at forhold</w:t>
      </w:r>
      <w:r w:rsidR="00B94570">
        <w:t>e</w:t>
      </w:r>
      <w:r>
        <w:t xml:space="preserve"> sig til. Dette er klart et af målene ved Sail’22. Cees ’</w:t>
      </w:r>
      <w:r w:rsidR="00004D52">
        <w:t>t Hart nævner</w:t>
      </w:r>
      <w:r>
        <w:t xml:space="preserve"> at</w:t>
      </w:r>
      <w:r w:rsidR="00004D52">
        <w:t>,</w:t>
      </w:r>
      <w:r>
        <w:t xml:space="preserve"> der skal gøre op med de</w:t>
      </w:r>
      <w:r w:rsidRPr="00670119">
        <w:rPr>
          <w:i/>
        </w:rPr>
        <w:t xml:space="preserve"> ”lokale og regionale Carlsberg-konger”</w:t>
      </w:r>
      <w:r>
        <w:rPr>
          <w:rStyle w:val="Fodnotehenvisning"/>
          <w:i/>
        </w:rPr>
        <w:footnoteReference w:id="4"/>
      </w:r>
      <w:r>
        <w:rPr>
          <w:i/>
        </w:rPr>
        <w:t>,</w:t>
      </w:r>
      <w:r w:rsidRPr="00C40856">
        <w:t xml:space="preserve"> hvilket understreger ideen om et mindre Carlsberg, </w:t>
      </w:r>
      <w:r w:rsidR="00004D52">
        <w:t>hvor kommunikeren skal komme et sted fra.</w:t>
      </w:r>
      <w:r w:rsidRPr="00C40856">
        <w:t xml:space="preserve"> </w:t>
      </w:r>
      <w:r w:rsidRPr="00C40856">
        <w:t>Kommunikationen vil blive mere koncentreret</w:t>
      </w:r>
      <w:r w:rsidRPr="00C40856">
        <w:t xml:space="preserve"> i virksomheden</w:t>
      </w:r>
      <w:r w:rsidRPr="00C40856">
        <w:t xml:space="preserve">. </w:t>
      </w:r>
    </w:p>
    <w:p w14:paraId="6FEEC401" w14:textId="1947152B" w:rsidR="00FC1955" w:rsidRPr="00670119" w:rsidRDefault="00FC1955" w:rsidP="00FC1955">
      <w:pPr>
        <w:spacing w:line="276" w:lineRule="auto"/>
        <w:jc w:val="both"/>
      </w:pPr>
      <w:r>
        <w:t xml:space="preserve">Den </w:t>
      </w:r>
      <w:r w:rsidRPr="00670119">
        <w:t xml:space="preserve">divisionaliserede form </w:t>
      </w:r>
      <w:r>
        <w:t>skal</w:t>
      </w:r>
      <w:r w:rsidRPr="00670119">
        <w:rPr>
          <w:i/>
        </w:rPr>
        <w:t xml:space="preserve"> </w:t>
      </w:r>
      <w:r w:rsidRPr="00670119">
        <w:t>danne grundlag</w:t>
      </w:r>
      <w:r>
        <w:t xml:space="preserve"> for et nyt og samlet Carlsberg, hvor der findes et mål og en forretningskultur. </w:t>
      </w:r>
    </w:p>
    <w:p w14:paraId="50ABD490" w14:textId="77777777" w:rsidR="00FC1955" w:rsidRDefault="00FC1955" w:rsidP="009A3E70">
      <w:pPr>
        <w:spacing w:line="276" w:lineRule="auto"/>
        <w:jc w:val="both"/>
      </w:pPr>
    </w:p>
    <w:p w14:paraId="7961B60A" w14:textId="6871B482" w:rsidR="00FC1955" w:rsidRDefault="008F3F94" w:rsidP="009A3E70">
      <w:pPr>
        <w:spacing w:line="276" w:lineRule="auto"/>
        <w:jc w:val="both"/>
      </w:pPr>
      <w:r>
        <w:t>Sail’22 fokuserer på, at der skal skabes en ”vinder-kultur”</w:t>
      </w:r>
      <w:r w:rsidR="002A3137">
        <w:t>,</w:t>
      </w:r>
      <w:r>
        <w:t xml:space="preserve"> som er baseret på teamwork, høj ydeevne </w:t>
      </w:r>
    </w:p>
    <w:p w14:paraId="5E995B2C" w14:textId="1C84523C" w:rsidR="009A3E70" w:rsidRDefault="008F3F94" w:rsidP="009A3E70">
      <w:pPr>
        <w:spacing w:line="276" w:lineRule="auto"/>
        <w:jc w:val="both"/>
      </w:pPr>
      <w:r>
        <w:t>og ansvarlighed</w:t>
      </w:r>
      <w:r w:rsidR="005A2E03">
        <w:rPr>
          <w:rStyle w:val="Fodnotehenvisning"/>
        </w:rPr>
        <w:footnoteReference w:id="5"/>
      </w:r>
      <w:r>
        <w:t>.</w:t>
      </w:r>
      <w:r>
        <w:t xml:space="preserve"> </w:t>
      </w:r>
      <w:r w:rsidR="009A3E70">
        <w:t>Cees ’t Hart</w:t>
      </w:r>
      <w:r>
        <w:t xml:space="preserve"> nævner</w:t>
      </w:r>
      <w:r w:rsidR="00D819CD">
        <w:t>,</w:t>
      </w:r>
      <w:r w:rsidR="00537D18">
        <w:t xml:space="preserve"> at</w:t>
      </w:r>
      <w:r>
        <w:rPr>
          <w:i/>
        </w:rPr>
        <w:t xml:space="preserve"> </w:t>
      </w:r>
      <w:r>
        <w:t>der</w:t>
      </w:r>
      <w:r>
        <w:t xml:space="preserve"> skal kigge</w:t>
      </w:r>
      <w:r>
        <w:t>s indad og arbejdes som et hold</w:t>
      </w:r>
      <w:r w:rsidR="00537D18">
        <w:rPr>
          <w:rStyle w:val="Fodnotehenvisning"/>
        </w:rPr>
        <w:footnoteReference w:id="6"/>
      </w:r>
      <w:r w:rsidR="009A3E70">
        <w:rPr>
          <w:i/>
        </w:rPr>
        <w:t xml:space="preserve">. </w:t>
      </w:r>
      <w:r w:rsidR="009A3E70">
        <w:t>Den høje ydeevne skal rettes mod det asiatiske marked, hvor Carlsberg ønsker at øge deres salg med 21%</w:t>
      </w:r>
      <w:r w:rsidR="00AC16F0">
        <w:rPr>
          <w:rStyle w:val="Fodnotehenvisning"/>
        </w:rPr>
        <w:footnoteReference w:id="7"/>
      </w:r>
      <w:r w:rsidR="009A3E70">
        <w:t xml:space="preserve">. </w:t>
      </w:r>
      <w:bookmarkStart w:id="0" w:name="_GoBack"/>
      <w:bookmarkEnd w:id="0"/>
    </w:p>
    <w:p w14:paraId="79909DAD" w14:textId="06C3AC83" w:rsidR="00D819CD" w:rsidRDefault="0071327C" w:rsidP="009A3E70">
      <w:pPr>
        <w:spacing w:line="276" w:lineRule="auto"/>
        <w:jc w:val="both"/>
      </w:pPr>
      <w:r>
        <w:t xml:space="preserve">Det at arbejde som et hold sætter </w:t>
      </w:r>
      <w:r w:rsidR="008F3F94">
        <w:t>Carlsberg</w:t>
      </w:r>
      <w:r>
        <w:t xml:space="preserve"> under pres, da Carlsberg Group</w:t>
      </w:r>
      <w:r w:rsidR="008F3F94">
        <w:t xml:space="preserve"> er en samling af flere underbrands</w:t>
      </w:r>
      <w:r w:rsidR="00AC16F0">
        <w:t>, der opererer i forskellige lande.</w:t>
      </w:r>
      <w:r w:rsidR="008F3F94">
        <w:t xml:space="preserve"> </w:t>
      </w:r>
      <w:r>
        <w:t>De</w:t>
      </w:r>
      <w:r w:rsidR="00FC5D13">
        <w:t xml:space="preserve"> nævner selv, at de</w:t>
      </w:r>
      <w:r w:rsidR="008F3F94">
        <w:t xml:space="preserve"> har et ølmærke for en hver smag, personlighed og livsstil</w:t>
      </w:r>
      <w:r>
        <w:rPr>
          <w:rStyle w:val="Fodnotehenvisning"/>
        </w:rPr>
        <w:footnoteReference w:id="8"/>
      </w:r>
      <w:r w:rsidR="008F3F94">
        <w:t xml:space="preserve">. </w:t>
      </w:r>
    </w:p>
    <w:p w14:paraId="48F7F1CC" w14:textId="3BFDE5B7" w:rsidR="00DF5C3B" w:rsidRDefault="00DF5C3B" w:rsidP="009A3E70">
      <w:pPr>
        <w:spacing w:line="276" w:lineRule="auto"/>
        <w:jc w:val="both"/>
      </w:pPr>
      <w:r>
        <w:t>Magtdistancen, struktureringsbehov samt den maskuline- og feminine dimension vil være meget differentieret i f.</w:t>
      </w:r>
      <w:r w:rsidR="002A3137">
        <w:t>e</w:t>
      </w:r>
      <w:r>
        <w:t>ks. Danmark og Asien. I Danmark vil man forvente en individualistisk tankegang med lav magtdistance</w:t>
      </w:r>
      <w:r w:rsidR="002A3137">
        <w:t>,</w:t>
      </w:r>
      <w:r>
        <w:t xml:space="preserve"> hvor man i de orientalske lande vil være en kollektivistisk tilgang med en stor magtdistance og et lille strukturerings behov.</w:t>
      </w:r>
      <w:r>
        <w:rPr>
          <w:rStyle w:val="Fodnotehenvisning"/>
        </w:rPr>
        <w:footnoteReference w:id="9"/>
      </w:r>
      <w:r>
        <w:t xml:space="preserve"> </w:t>
      </w:r>
    </w:p>
    <w:p w14:paraId="52A32FA7" w14:textId="5BA209C9" w:rsidR="008F3F94" w:rsidRDefault="00DF5C3B" w:rsidP="009A3E70">
      <w:pPr>
        <w:spacing w:line="276" w:lineRule="auto"/>
        <w:jc w:val="both"/>
      </w:pPr>
      <w:r>
        <w:t>Så for at Carlsberg skal spille som et hold</w:t>
      </w:r>
      <w:r w:rsidR="00D819CD">
        <w:t xml:space="preserve">, </w:t>
      </w:r>
      <w:r>
        <w:t>skal det overvejes</w:t>
      </w:r>
      <w:r w:rsidR="002A3137">
        <w:t>,</w:t>
      </w:r>
      <w:r>
        <w:t xml:space="preserve"> at kulturen ikke nødvendigvis er den samme i Carlsbergs opperationsområder. </w:t>
      </w:r>
      <w:r w:rsidR="00FC1955">
        <w:t>Kommunikationen og kulturen skal derfor tilpasses de forskellige fabrikker</w:t>
      </w:r>
      <w:r w:rsidR="00C10D73">
        <w:t xml:space="preserve"> og virksomhed</w:t>
      </w:r>
      <w:r w:rsidR="00DB6619">
        <w:t xml:space="preserve">en Carlsberg ejer, jævnføre begrebet </w:t>
      </w:r>
      <w:proofErr w:type="spellStart"/>
      <w:r w:rsidR="00DB6619">
        <w:t>GloCal</w:t>
      </w:r>
      <w:proofErr w:type="spellEnd"/>
      <w:r w:rsidR="00DB6619">
        <w:t xml:space="preserve"> som nævnes tidligere i rapporten.  </w:t>
      </w:r>
    </w:p>
    <w:p w14:paraId="58AD9B50" w14:textId="77777777" w:rsidR="008F3F94" w:rsidRDefault="008F3F94" w:rsidP="00AD159B">
      <w:pPr>
        <w:spacing w:line="276" w:lineRule="auto"/>
        <w:jc w:val="both"/>
      </w:pPr>
    </w:p>
    <w:p w14:paraId="5EF57B38" w14:textId="77777777" w:rsidR="00B029BD" w:rsidRDefault="00B029BD" w:rsidP="00AD159B">
      <w:pPr>
        <w:spacing w:line="276" w:lineRule="auto"/>
        <w:jc w:val="both"/>
      </w:pPr>
    </w:p>
    <w:p w14:paraId="152BF7EE" w14:textId="77777777" w:rsidR="004C09E0" w:rsidRDefault="004C09E0" w:rsidP="00AD159B">
      <w:pPr>
        <w:spacing w:line="276" w:lineRule="auto"/>
        <w:jc w:val="both"/>
      </w:pPr>
    </w:p>
    <w:p w14:paraId="195F281B" w14:textId="77777777" w:rsidR="00DF5C3B" w:rsidRDefault="00DF5C3B" w:rsidP="00AD159B">
      <w:pPr>
        <w:spacing w:line="276" w:lineRule="auto"/>
        <w:jc w:val="both"/>
      </w:pPr>
    </w:p>
    <w:p w14:paraId="493A3653" w14:textId="77777777" w:rsidR="005C0C12" w:rsidRDefault="005C0C12" w:rsidP="00AD159B">
      <w:pPr>
        <w:spacing w:line="276" w:lineRule="auto"/>
        <w:jc w:val="both"/>
      </w:pPr>
    </w:p>
    <w:p w14:paraId="0B910AC4" w14:textId="77777777" w:rsidR="00F35C7C" w:rsidRPr="00BC2562" w:rsidRDefault="00F35C7C" w:rsidP="007162E6">
      <w:pPr>
        <w:spacing w:line="276" w:lineRule="auto"/>
        <w:jc w:val="both"/>
      </w:pPr>
    </w:p>
    <w:sectPr w:rsidR="00F35C7C" w:rsidRPr="00BC2562" w:rsidSect="003677D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32938" w14:textId="77777777" w:rsidR="00300546" w:rsidRDefault="00300546" w:rsidP="00F62004">
      <w:r>
        <w:separator/>
      </w:r>
    </w:p>
  </w:endnote>
  <w:endnote w:type="continuationSeparator" w:id="0">
    <w:p w14:paraId="0A8523BB" w14:textId="77777777" w:rsidR="00300546" w:rsidRDefault="00300546" w:rsidP="00F6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8D217" w14:textId="77777777" w:rsidR="00300546" w:rsidRDefault="00300546" w:rsidP="00F62004">
      <w:r>
        <w:separator/>
      </w:r>
    </w:p>
  </w:footnote>
  <w:footnote w:type="continuationSeparator" w:id="0">
    <w:p w14:paraId="6109A9D4" w14:textId="77777777" w:rsidR="00300546" w:rsidRDefault="00300546" w:rsidP="00F62004">
      <w:r>
        <w:continuationSeparator/>
      </w:r>
    </w:p>
  </w:footnote>
  <w:footnote w:id="1">
    <w:p w14:paraId="506E48B5" w14:textId="3EA60880" w:rsidR="00117439" w:rsidRPr="00117439" w:rsidRDefault="00117439">
      <w:pPr>
        <w:pStyle w:val="Fodnotetekst"/>
        <w:rPr>
          <w:sz w:val="20"/>
          <w:szCs w:val="20"/>
        </w:rPr>
      </w:pPr>
      <w:r w:rsidRPr="00117439">
        <w:rPr>
          <w:rStyle w:val="Fodnotehenvisning"/>
          <w:sz w:val="20"/>
          <w:szCs w:val="20"/>
        </w:rPr>
        <w:footnoteRef/>
      </w:r>
      <w:r w:rsidRPr="00117439">
        <w:rPr>
          <w:sz w:val="20"/>
          <w:szCs w:val="20"/>
        </w:rPr>
        <w:t xml:space="preserve"> http://viewer.zmags.com/publication/0231b928#/0231b928/18</w:t>
      </w:r>
    </w:p>
  </w:footnote>
  <w:footnote w:id="2">
    <w:p w14:paraId="0CF4DE27" w14:textId="78345224" w:rsidR="000C4E3A" w:rsidRPr="000C4E3A" w:rsidRDefault="000C4E3A">
      <w:pPr>
        <w:pStyle w:val="Fodnotetekst"/>
        <w:rPr>
          <w:sz w:val="20"/>
          <w:szCs w:val="20"/>
        </w:rPr>
      </w:pPr>
      <w:r w:rsidRPr="000C4E3A">
        <w:rPr>
          <w:rStyle w:val="Fodnotehenvisning"/>
          <w:sz w:val="20"/>
          <w:szCs w:val="20"/>
        </w:rPr>
        <w:footnoteRef/>
      </w:r>
      <w:r w:rsidRPr="000C4E3A">
        <w:rPr>
          <w:sz w:val="20"/>
          <w:szCs w:val="20"/>
        </w:rPr>
        <w:t xml:space="preserve"> http://viewer.zmags.com/publication/0231b928#/0231b928/24</w:t>
      </w:r>
    </w:p>
  </w:footnote>
  <w:footnote w:id="3">
    <w:p w14:paraId="35E2443D" w14:textId="77777777" w:rsidR="00FC1955" w:rsidRPr="001E0C19" w:rsidRDefault="00FC1955" w:rsidP="00FC1955">
      <w:pPr>
        <w:pStyle w:val="Fodnotetekst"/>
        <w:rPr>
          <w:sz w:val="20"/>
          <w:szCs w:val="20"/>
        </w:rPr>
      </w:pPr>
      <w:r w:rsidRPr="001E0C19">
        <w:rPr>
          <w:rStyle w:val="Fodnotehenvisning"/>
          <w:sz w:val="20"/>
          <w:szCs w:val="20"/>
        </w:rPr>
        <w:footnoteRef/>
      </w:r>
      <w:r w:rsidRPr="001E0C19">
        <w:rPr>
          <w:sz w:val="20"/>
          <w:szCs w:val="20"/>
        </w:rPr>
        <w:t xml:space="preserve"> http://viewer.zmags.com/publication/0231b928#/0231b928/2</w:t>
      </w:r>
    </w:p>
  </w:footnote>
  <w:footnote w:id="4">
    <w:p w14:paraId="0EE1EDFC" w14:textId="3439042D" w:rsidR="00C40856" w:rsidRPr="00C40856" w:rsidRDefault="00C40856">
      <w:pPr>
        <w:pStyle w:val="Fodnotetekst"/>
        <w:rPr>
          <w:sz w:val="20"/>
          <w:szCs w:val="20"/>
        </w:rPr>
      </w:pPr>
      <w:r w:rsidRPr="00C40856">
        <w:rPr>
          <w:rStyle w:val="Fodnotehenvisning"/>
          <w:sz w:val="20"/>
          <w:szCs w:val="20"/>
        </w:rPr>
        <w:footnoteRef/>
      </w:r>
      <w:r w:rsidRPr="00C40856">
        <w:rPr>
          <w:sz w:val="20"/>
          <w:szCs w:val="20"/>
        </w:rPr>
        <w:t xml:space="preserve"> </w:t>
      </w:r>
      <w:r>
        <w:rPr>
          <w:sz w:val="20"/>
          <w:szCs w:val="20"/>
        </w:rPr>
        <w:t>Hansen, CHR. Jens, Ny Carlsberg</w:t>
      </w:r>
      <w:r w:rsidRPr="00C40856">
        <w:rPr>
          <w:sz w:val="20"/>
          <w:szCs w:val="20"/>
        </w:rPr>
        <w:t xml:space="preserve">-boss renser ud inden strategiskifte, s. 2 </w:t>
      </w:r>
    </w:p>
  </w:footnote>
  <w:footnote w:id="5">
    <w:p w14:paraId="1B53919B" w14:textId="3D10C8D2" w:rsidR="005A2E03" w:rsidRPr="005A2E03" w:rsidRDefault="005A2E03">
      <w:pPr>
        <w:pStyle w:val="Fodnotetekst"/>
        <w:rPr>
          <w:sz w:val="20"/>
          <w:szCs w:val="20"/>
        </w:rPr>
      </w:pPr>
      <w:r w:rsidRPr="005A2E03">
        <w:rPr>
          <w:rStyle w:val="Fodnotehenvisning"/>
          <w:sz w:val="20"/>
          <w:szCs w:val="20"/>
        </w:rPr>
        <w:footnoteRef/>
      </w:r>
      <w:r w:rsidRPr="005A2E03">
        <w:rPr>
          <w:sz w:val="20"/>
          <w:szCs w:val="20"/>
        </w:rPr>
        <w:t xml:space="preserve"> http://viewer.zmags.com/publication/0231b928#/0231b928/6</w:t>
      </w:r>
    </w:p>
  </w:footnote>
  <w:footnote w:id="6">
    <w:p w14:paraId="057E70B0" w14:textId="50E064F6" w:rsidR="00537D18" w:rsidRPr="0027058B" w:rsidRDefault="00537D18">
      <w:pPr>
        <w:pStyle w:val="Fodnotetekst"/>
        <w:rPr>
          <w:sz w:val="20"/>
          <w:szCs w:val="20"/>
        </w:rPr>
      </w:pPr>
      <w:r w:rsidRPr="0027058B">
        <w:rPr>
          <w:rStyle w:val="Fodnotehenvisning"/>
          <w:sz w:val="20"/>
          <w:szCs w:val="20"/>
        </w:rPr>
        <w:footnoteRef/>
      </w:r>
      <w:r w:rsidR="0027058B">
        <w:rPr>
          <w:sz w:val="20"/>
          <w:szCs w:val="20"/>
        </w:rPr>
        <w:t xml:space="preserve"> </w:t>
      </w:r>
      <w:r w:rsidRPr="0027058B">
        <w:rPr>
          <w:sz w:val="20"/>
          <w:szCs w:val="20"/>
        </w:rPr>
        <w:t>Carlsberg-boss: Vi er helt ude af opkøbsræset de næste to år</w:t>
      </w:r>
    </w:p>
  </w:footnote>
  <w:footnote w:id="7">
    <w:p w14:paraId="230D3402" w14:textId="2EDDF857" w:rsidR="00AC16F0" w:rsidRPr="0027058B" w:rsidRDefault="00AC16F0">
      <w:pPr>
        <w:pStyle w:val="Fodnotetekst"/>
        <w:rPr>
          <w:sz w:val="20"/>
          <w:szCs w:val="20"/>
        </w:rPr>
      </w:pPr>
      <w:r w:rsidRPr="0027058B">
        <w:rPr>
          <w:rStyle w:val="Fodnotehenvisning"/>
          <w:sz w:val="20"/>
          <w:szCs w:val="20"/>
        </w:rPr>
        <w:footnoteRef/>
      </w:r>
      <w:r w:rsidRPr="0027058B">
        <w:rPr>
          <w:sz w:val="20"/>
          <w:szCs w:val="20"/>
        </w:rPr>
        <w:t xml:space="preserve"> http://viewer.zmags.com/publication/0231b928#/0231b928/4</w:t>
      </w:r>
    </w:p>
  </w:footnote>
  <w:footnote w:id="8">
    <w:p w14:paraId="372002A4" w14:textId="61E7AF79" w:rsidR="0071327C" w:rsidRPr="0071327C" w:rsidRDefault="0071327C">
      <w:pPr>
        <w:pStyle w:val="Fodnotetekst"/>
        <w:rPr>
          <w:sz w:val="20"/>
          <w:szCs w:val="20"/>
        </w:rPr>
      </w:pPr>
      <w:r w:rsidRPr="0071327C">
        <w:rPr>
          <w:rStyle w:val="Fodnotehenvisning"/>
          <w:sz w:val="20"/>
          <w:szCs w:val="20"/>
        </w:rPr>
        <w:footnoteRef/>
      </w:r>
      <w:r w:rsidRPr="0071327C">
        <w:rPr>
          <w:sz w:val="20"/>
          <w:szCs w:val="20"/>
        </w:rPr>
        <w:t xml:space="preserve"> https://www.youtube.com/watch?v=CmzKM3HYONc</w:t>
      </w:r>
    </w:p>
  </w:footnote>
  <w:footnote w:id="9">
    <w:p w14:paraId="595C85D9" w14:textId="364BEA10" w:rsidR="00DF5C3B" w:rsidRPr="00DF5C3B" w:rsidRDefault="00DF5C3B">
      <w:pPr>
        <w:pStyle w:val="Fodnotetekst"/>
        <w:rPr>
          <w:sz w:val="20"/>
          <w:szCs w:val="20"/>
        </w:rPr>
      </w:pPr>
      <w:r w:rsidRPr="00DF5C3B">
        <w:rPr>
          <w:rStyle w:val="Fodnotehenvisning"/>
          <w:sz w:val="20"/>
          <w:szCs w:val="20"/>
        </w:rPr>
        <w:footnoteRef/>
      </w:r>
      <w:r w:rsidRPr="00DF5C3B">
        <w:rPr>
          <w:sz w:val="20"/>
          <w:szCs w:val="20"/>
        </w:rPr>
        <w:t xml:space="preserve"> PDF: Human Resources – videregående uddannelser s. 58-59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62"/>
    <w:rsid w:val="00004D52"/>
    <w:rsid w:val="00034A52"/>
    <w:rsid w:val="000C2E2C"/>
    <w:rsid w:val="000C4E3A"/>
    <w:rsid w:val="000D5B86"/>
    <w:rsid w:val="000E56DD"/>
    <w:rsid w:val="00117439"/>
    <w:rsid w:val="00144BE6"/>
    <w:rsid w:val="001E0C19"/>
    <w:rsid w:val="001F68CE"/>
    <w:rsid w:val="00235720"/>
    <w:rsid w:val="0027058B"/>
    <w:rsid w:val="002762A7"/>
    <w:rsid w:val="002A15CB"/>
    <w:rsid w:val="002A3137"/>
    <w:rsid w:val="00300546"/>
    <w:rsid w:val="0032467A"/>
    <w:rsid w:val="003677D2"/>
    <w:rsid w:val="003811DE"/>
    <w:rsid w:val="003A5C19"/>
    <w:rsid w:val="003D28EE"/>
    <w:rsid w:val="003D4C69"/>
    <w:rsid w:val="004C09E0"/>
    <w:rsid w:val="004D34BF"/>
    <w:rsid w:val="004D65D6"/>
    <w:rsid w:val="004F34EB"/>
    <w:rsid w:val="00522C70"/>
    <w:rsid w:val="00537D18"/>
    <w:rsid w:val="00540880"/>
    <w:rsid w:val="00597CF3"/>
    <w:rsid w:val="005A2E03"/>
    <w:rsid w:val="005B015E"/>
    <w:rsid w:val="005C0C12"/>
    <w:rsid w:val="006110DF"/>
    <w:rsid w:val="00625AA2"/>
    <w:rsid w:val="00670119"/>
    <w:rsid w:val="0069734B"/>
    <w:rsid w:val="006A2CAB"/>
    <w:rsid w:val="006C5905"/>
    <w:rsid w:val="0071327C"/>
    <w:rsid w:val="007162E6"/>
    <w:rsid w:val="00777FF8"/>
    <w:rsid w:val="00796F32"/>
    <w:rsid w:val="007C06E4"/>
    <w:rsid w:val="00835C89"/>
    <w:rsid w:val="008643EE"/>
    <w:rsid w:val="008F3F94"/>
    <w:rsid w:val="00941B76"/>
    <w:rsid w:val="0098258A"/>
    <w:rsid w:val="00997495"/>
    <w:rsid w:val="009A3E70"/>
    <w:rsid w:val="009D3C86"/>
    <w:rsid w:val="00A36AE6"/>
    <w:rsid w:val="00AA3452"/>
    <w:rsid w:val="00AC16F0"/>
    <w:rsid w:val="00AD159B"/>
    <w:rsid w:val="00AE1BEE"/>
    <w:rsid w:val="00B029BD"/>
    <w:rsid w:val="00B31D93"/>
    <w:rsid w:val="00B94570"/>
    <w:rsid w:val="00BC2562"/>
    <w:rsid w:val="00C10D73"/>
    <w:rsid w:val="00C20729"/>
    <w:rsid w:val="00C40856"/>
    <w:rsid w:val="00C652C2"/>
    <w:rsid w:val="00C90BDF"/>
    <w:rsid w:val="00CE0EF3"/>
    <w:rsid w:val="00D21343"/>
    <w:rsid w:val="00D55191"/>
    <w:rsid w:val="00D819CD"/>
    <w:rsid w:val="00D82EBD"/>
    <w:rsid w:val="00DA0DAF"/>
    <w:rsid w:val="00DB6619"/>
    <w:rsid w:val="00DD149C"/>
    <w:rsid w:val="00DF5C3B"/>
    <w:rsid w:val="00E43337"/>
    <w:rsid w:val="00E57D3B"/>
    <w:rsid w:val="00F00452"/>
    <w:rsid w:val="00F30359"/>
    <w:rsid w:val="00F35C7C"/>
    <w:rsid w:val="00F3715C"/>
    <w:rsid w:val="00F62004"/>
    <w:rsid w:val="00F7314D"/>
    <w:rsid w:val="00F74D7B"/>
    <w:rsid w:val="00FA51FC"/>
    <w:rsid w:val="00FB1513"/>
    <w:rsid w:val="00FC1955"/>
    <w:rsid w:val="00F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5C7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2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unhideWhenUsed/>
    <w:rsid w:val="00F62004"/>
  </w:style>
  <w:style w:type="character" w:customStyle="1" w:styleId="FodnotetekstTegn">
    <w:name w:val="Fodnotetekst Tegn"/>
    <w:basedOn w:val="Standardskrifttypeiafsnit"/>
    <w:link w:val="Fodnotetekst"/>
    <w:uiPriority w:val="99"/>
    <w:rsid w:val="00F62004"/>
  </w:style>
  <w:style w:type="character" w:styleId="Fodnotehenvisning">
    <w:name w:val="footnote reference"/>
    <w:basedOn w:val="Standardskrifttypeiafsnit"/>
    <w:uiPriority w:val="99"/>
    <w:unhideWhenUsed/>
    <w:rsid w:val="00F62004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5C7C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35C7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35C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5C7C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5C7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35C7C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5C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492967-379B-7246-A936-828029DD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730</Words>
  <Characters>3996</Characters>
  <Application>Microsoft Macintosh Word</Application>
  <DocSecurity>0</DocSecurity>
  <Lines>68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Sail’22 – intern kommunikation og strategi </vt:lpstr>
    </vt:vector>
  </TitlesOfParts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Ørsted</dc:creator>
  <cp:keywords/>
  <dc:description/>
  <cp:lastModifiedBy>Sarah Ørsted</cp:lastModifiedBy>
  <cp:revision>74</cp:revision>
  <dcterms:created xsi:type="dcterms:W3CDTF">2016-03-30T09:56:00Z</dcterms:created>
  <dcterms:modified xsi:type="dcterms:W3CDTF">2016-03-31T11:56:00Z</dcterms:modified>
</cp:coreProperties>
</file>